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 w:rsidRPr="00702323">
        <w:rPr>
          <w:noProof/>
        </w:rPr>
        <w:pict>
          <v:rect id="_x0000_s1026" style="position:absolute;left:0;text-align:left;margin-left:2183.7pt;margin-top:0;width:258.35pt;height:189pt;rotation:-360;z-index:251660288;mso-position-horizontal:right;mso-position-horizontal-relative:page;mso-position-vertical:top;mso-position-vertical-relative:page" o:allowincell="f" fillcolor="#f79646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051F1B" w:rsidRDefault="00051F1B" w:rsidP="00051F1B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051F1B" w:rsidRDefault="00051F1B" w:rsidP="00051F1B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051F1B" w:rsidRPr="00743057" w:rsidRDefault="00051F1B" w:rsidP="00051F1B">
                  <w:pPr>
                    <w:rPr>
                      <w:caps/>
                      <w:color w:val="984806"/>
                      <w:sz w:val="40"/>
                      <w:szCs w:val="40"/>
                    </w:rPr>
                  </w:pP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[</w:t>
                  </w:r>
                  <w:r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sz w:val="40"/>
                      <w:szCs w:val="40"/>
                    </w:rPr>
                    <w:t>ÁREA DE IMAGEN PERSONAL  Y BELLEZA</w:t>
                  </w: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702323">
        <w:rPr>
          <w:noProof/>
        </w:rPr>
        <w:pict>
          <v:rect id="_x0000_s1027" style="position:absolute;left:0;text-align:left;margin-left:-1.3pt;margin-top:0;width:128.8pt;height:841.5pt;rotation:-360;z-index:251661312;mso-position-horizontal-relative:page;mso-position-vertical-relative:page" o:allowincell="f" fillcolor="#f79646" stroked="f" strokecolor="#f2f2f2" strokeweight="3pt">
            <v:fill color2="#365f91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051F1B" w:rsidRDefault="00051F1B" w:rsidP="00051F1B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jc w:val="center"/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</w:pPr>
    </w:p>
    <w:p w:rsidR="00051F1B" w:rsidRPr="004F7EB9" w:rsidRDefault="00051F1B" w:rsidP="00051F1B">
      <w:pPr>
        <w:jc w:val="center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         </w:t>
      </w:r>
      <w:r w:rsidRPr="004F7EB9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Curso </w:t>
      </w: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>MONOGRÁFICO DE PRÓTESIS I</w:t>
      </w:r>
    </w:p>
    <w:p w:rsidR="00051F1B" w:rsidRDefault="00051F1B" w:rsidP="00051F1B">
      <w:pPr>
        <w:pStyle w:val="NormalWeb"/>
        <w:tabs>
          <w:tab w:val="left" w:pos="585"/>
        </w:tabs>
        <w:spacing w:before="0" w:beforeAutospacing="0" w:after="120" w:afterAutospacing="0" w:line="270" w:lineRule="atLeast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color w:val="99CCFF"/>
          <w:sz w:val="28"/>
          <w:szCs w:val="28"/>
        </w:rPr>
        <w:tab/>
      </w: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D660C1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99CCFF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-1270</wp:posOffset>
            </wp:positionV>
            <wp:extent cx="3028950" cy="3590925"/>
            <wp:effectExtent l="19050" t="0" r="0" b="0"/>
            <wp:wrapNone/>
            <wp:docPr id="1" name="0 Imagen" descr="r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590925"/>
                    </a:xfrm>
                    <a:prstGeom prst="snip2Diag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051F1B" w:rsidRDefault="00051F1B" w:rsidP="00051F1B">
      <w:pPr>
        <w:jc w:val="right"/>
      </w:pPr>
    </w:p>
    <w:p w:rsidR="00051F1B" w:rsidRDefault="00051F1B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D660C1" w:rsidRDefault="00D660C1" w:rsidP="00051F1B">
      <w:pPr>
        <w:tabs>
          <w:tab w:val="left" w:pos="1280"/>
          <w:tab w:val="right" w:pos="9780"/>
        </w:tabs>
        <w:spacing w:line="360" w:lineRule="auto"/>
        <w:jc w:val="right"/>
      </w:pPr>
    </w:p>
    <w:p w:rsidR="00051F1B" w:rsidRDefault="00051F1B" w:rsidP="00051F1B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57785</wp:posOffset>
            </wp:positionV>
            <wp:extent cx="2197735" cy="79184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051F1B" w:rsidRDefault="00051F1B" w:rsidP="00051F1B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hyperlink r:id="rId7" w:history="1">
        <w:r w:rsidRPr="004A62D3">
          <w:rPr>
            <w:rStyle w:val="Hipervnculo"/>
            <w:rFonts w:ascii="Candara" w:hAnsi="Candara" w:cs="Candara"/>
            <w:b/>
            <w:bCs/>
            <w:color w:val="E36C0A"/>
            <w:sz w:val="32"/>
            <w:szCs w:val="32"/>
          </w:rPr>
          <w:t>www.emaquillaje.com</w:t>
        </w:r>
      </w:hyperlink>
      <w:r>
        <w:t xml:space="preserve">  </w:t>
      </w:r>
    </w:p>
    <w:p w:rsidR="00051F1B" w:rsidRPr="004A62D3" w:rsidRDefault="00051F1B" w:rsidP="00051F1B">
      <w:pPr>
        <w:tabs>
          <w:tab w:val="left" w:pos="720"/>
          <w:tab w:val="left" w:pos="1280"/>
          <w:tab w:val="right" w:pos="8023"/>
          <w:tab w:val="right" w:pos="9780"/>
        </w:tabs>
        <w:jc w:val="right"/>
        <w:rPr>
          <w:rFonts w:ascii="Candara" w:hAnsi="Candara" w:cs="Candara"/>
          <w:b/>
          <w:bCs/>
          <w:color w:val="E36C0A"/>
          <w:sz w:val="32"/>
          <w:szCs w:val="32"/>
        </w:rPr>
      </w:pPr>
      <w:r w:rsidRPr="004A62D3">
        <w:rPr>
          <w:rFonts w:ascii="Candara" w:hAnsi="Candara" w:cs="Candara"/>
          <w:b/>
          <w:bCs/>
          <w:color w:val="E36C0A"/>
          <w:sz w:val="32"/>
          <w:szCs w:val="32"/>
        </w:rPr>
        <w:t>info@emaformacion.com</w:t>
      </w:r>
    </w:p>
    <w:p w:rsidR="00051F1B" w:rsidRDefault="00051F1B" w:rsidP="00051F1B">
      <w:pPr>
        <w:pStyle w:val="NormalWeb"/>
        <w:spacing w:before="0" w:beforeAutospacing="0" w:after="120" w:afterAutospacing="0" w:line="270" w:lineRule="atLeast"/>
        <w:jc w:val="center"/>
        <w:rPr>
          <w:rFonts w:ascii="Chiller" w:hAnsi="Chiller" w:cs="Chiller"/>
          <w:b/>
          <w:bCs/>
          <w:color w:val="E36C0A"/>
          <w:sz w:val="40"/>
          <w:szCs w:val="40"/>
        </w:rPr>
      </w:pPr>
    </w:p>
    <w:p w:rsidR="00051F1B" w:rsidRPr="00051F1B" w:rsidRDefault="00051F1B" w:rsidP="00051F1B">
      <w:pPr>
        <w:ind w:left="720"/>
        <w:jc w:val="center"/>
        <w:rPr>
          <w:rFonts w:ascii="Chiller" w:hAnsi="Chiller"/>
          <w:b/>
          <w:color w:val="E36C0A"/>
          <w:sz w:val="40"/>
          <w:szCs w:val="40"/>
        </w:rPr>
      </w:pPr>
      <w:r w:rsidRPr="00051F1B">
        <w:rPr>
          <w:rFonts w:ascii="Chiller" w:hAnsi="Chiller"/>
          <w:b/>
          <w:color w:val="E36C0A"/>
          <w:sz w:val="40"/>
          <w:szCs w:val="40"/>
        </w:rPr>
        <w:lastRenderedPageBreak/>
        <w:t>MONOGRÁFICO DE PRÓTESIS  I</w:t>
      </w:r>
      <w:r w:rsidRPr="00051F1B">
        <w:rPr>
          <w:rFonts w:ascii="Chiller" w:hAnsi="Chiller"/>
          <w:color w:val="E36C0A"/>
          <w:sz w:val="40"/>
          <w:szCs w:val="40"/>
        </w:rPr>
        <w:t xml:space="preserve"> </w:t>
      </w:r>
    </w:p>
    <w:p w:rsidR="00051F1B" w:rsidRPr="00051F1B" w:rsidRDefault="00051F1B" w:rsidP="00051F1B">
      <w:pPr>
        <w:jc w:val="center"/>
        <w:rPr>
          <w:rFonts w:ascii="Chiller" w:hAnsi="Chiller"/>
          <w:b/>
          <w:color w:val="E36C0A"/>
          <w:sz w:val="40"/>
          <w:szCs w:val="40"/>
        </w:rPr>
      </w:pPr>
      <w:r w:rsidRPr="00051F1B">
        <w:rPr>
          <w:rFonts w:ascii="Chiller" w:hAnsi="Chiller"/>
          <w:b/>
          <w:color w:val="E36C0A"/>
          <w:sz w:val="40"/>
          <w:szCs w:val="40"/>
        </w:rPr>
        <w:t xml:space="preserve"> (</w:t>
      </w:r>
      <w:r>
        <w:rPr>
          <w:rFonts w:ascii="Chiller" w:hAnsi="Chiller"/>
          <w:b/>
          <w:color w:val="E36C0A" w:themeColor="accent6" w:themeShade="BF"/>
          <w:sz w:val="40"/>
          <w:szCs w:val="40"/>
        </w:rPr>
        <w:t>Planchas planas y Parciales</w:t>
      </w:r>
      <w:r w:rsidRPr="00051F1B">
        <w:rPr>
          <w:rFonts w:ascii="Chiller" w:hAnsi="Chiller"/>
          <w:b/>
          <w:color w:val="E36C0A"/>
          <w:sz w:val="40"/>
          <w:szCs w:val="40"/>
        </w:rPr>
        <w:t xml:space="preserve">) </w:t>
      </w:r>
    </w:p>
    <w:p w:rsidR="00051F1B" w:rsidRDefault="00051F1B" w:rsidP="00051F1B">
      <w:pPr>
        <w:rPr>
          <w:sz w:val="28"/>
          <w:szCs w:val="28"/>
        </w:rPr>
      </w:pPr>
    </w:p>
    <w:p w:rsidR="00051F1B" w:rsidRDefault="00051F1B" w:rsidP="00051F1B">
      <w:pPr>
        <w:jc w:val="both"/>
        <w:rPr>
          <w:sz w:val="28"/>
          <w:szCs w:val="28"/>
        </w:rPr>
      </w:pP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051F1B">
        <w:rPr>
          <w:rFonts w:ascii="Candara" w:hAnsi="Candara"/>
          <w:lang w:eastAsia="es-ES_tradnl"/>
        </w:rPr>
        <w:t xml:space="preserve">   El monográfico de Prótesis I es una primera toma de contacto con el maquillaje protésico. Durante el curso aprenderemos a realizar prótesis a medida en gelatina y  látex. Trabajaremos con dos tipos de técnicas distintas: planchas planas y prótesis parciales. Se explicarán ambas técnicas y ambos materiales siendo el propio alumno quien decida el material a utilizar para sacar sus prótesis. </w:t>
      </w: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051F1B">
        <w:rPr>
          <w:rFonts w:ascii="Candara" w:hAnsi="Candara"/>
          <w:lang w:eastAsia="es-ES_tradnl"/>
        </w:rPr>
        <w:t xml:space="preserve">   El principal objetivo de este monográfico será conseguir crear prótesis lo más realistas posibles aprendiendo el proceso de trabajo desde una enseñanza teórica y práctica.</w:t>
      </w: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051F1B">
        <w:rPr>
          <w:rFonts w:ascii="Candara" w:hAnsi="Candara"/>
          <w:lang w:eastAsia="es-ES_tradnl"/>
        </w:rPr>
        <w:t xml:space="preserve">   Para ello los alumnos aprenderán a realizar un buen modelado con textura realista, conseguir unos bordes prácticamente imperceptibles y unas buenas tonalidades de color. Durante el curso se pondrán a disposición del alumno todos los materiales necesarios como la escayola, el </w:t>
      </w:r>
      <w:proofErr w:type="spellStart"/>
      <w:r w:rsidRPr="00051F1B">
        <w:rPr>
          <w:rFonts w:ascii="Candara" w:hAnsi="Candara"/>
          <w:lang w:eastAsia="es-ES_tradnl"/>
        </w:rPr>
        <w:t>alginato</w:t>
      </w:r>
      <w:proofErr w:type="spellEnd"/>
      <w:r w:rsidRPr="00051F1B">
        <w:rPr>
          <w:rFonts w:ascii="Candara" w:hAnsi="Candara"/>
          <w:lang w:eastAsia="es-ES_tradnl"/>
        </w:rPr>
        <w:t xml:space="preserve">, la gelatina, adhesivos para prótesis, maquillajes, disolventes aptos para la piel, etc. </w:t>
      </w: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051F1B">
        <w:rPr>
          <w:rFonts w:ascii="Candara" w:hAnsi="Candara"/>
          <w:lang w:eastAsia="es-ES_tradnl"/>
        </w:rPr>
        <w:t xml:space="preserve">   Durante el curso cada alumno realizará un molde al compañero para obtener una base sobre la que confeccionar su prótesis. Se emplearán técnicas avanzadas de modelado y texturizado aplicado a prótesis, además del aprendizaje por parte del alumno de técnicas como el </w:t>
      </w:r>
      <w:proofErr w:type="spellStart"/>
      <w:r w:rsidRPr="00051F1B">
        <w:rPr>
          <w:rFonts w:ascii="Candara" w:hAnsi="Candara"/>
          <w:lang w:eastAsia="es-ES_tradnl"/>
        </w:rPr>
        <w:t>Flushing</w:t>
      </w:r>
      <w:proofErr w:type="spellEnd"/>
      <w:r w:rsidRPr="00051F1B">
        <w:rPr>
          <w:rFonts w:ascii="Candara" w:hAnsi="Candara"/>
          <w:lang w:eastAsia="es-ES_tradnl"/>
        </w:rPr>
        <w:t>. También se llevará a cabo la creación de pequeños moldes negativos en escayola, aplicación de la prótesis, maquillado y desmaquillado de la misma, etc.</w:t>
      </w:r>
    </w:p>
    <w:p w:rsidR="00051F1B" w:rsidRPr="00051F1B" w:rsidRDefault="00051F1B" w:rsidP="00051F1B">
      <w:pPr>
        <w:jc w:val="both"/>
        <w:rPr>
          <w:rFonts w:ascii="Candara" w:hAnsi="Candara"/>
        </w:rPr>
      </w:pPr>
    </w:p>
    <w:p w:rsidR="00051F1B" w:rsidRPr="00051F1B" w:rsidRDefault="00051F1B" w:rsidP="00051F1B">
      <w:pPr>
        <w:jc w:val="both"/>
        <w:rPr>
          <w:rFonts w:ascii="Candara" w:hAnsi="Candara"/>
        </w:rPr>
      </w:pPr>
    </w:p>
    <w:p w:rsidR="00051F1B" w:rsidRPr="00051F1B" w:rsidRDefault="00051F1B" w:rsidP="00051F1B">
      <w:pPr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>Dirigido a:</w:t>
      </w: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051F1B" w:rsidRPr="00051F1B" w:rsidRDefault="00051F1B" w:rsidP="00051F1B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051F1B">
        <w:rPr>
          <w:rFonts w:ascii="Candara" w:hAnsi="Candara"/>
          <w:lang w:eastAsia="es-ES_tradnl"/>
        </w:rPr>
        <w:t xml:space="preserve">   Este curso está dirigido tanto a personas que quieran comenzar a formarse en el mundo de los efectos especiales y el maquillaje protésico sin ser necesario un conocimiento previo de este sector</w:t>
      </w:r>
      <w:r w:rsidRPr="00051F1B">
        <w:rPr>
          <w:rFonts w:ascii="Candara" w:hAnsi="Candara"/>
        </w:rPr>
        <w:t xml:space="preserve"> </w:t>
      </w:r>
      <w:r w:rsidRPr="00051F1B">
        <w:rPr>
          <w:rFonts w:ascii="Candara" w:hAnsi="Candara"/>
          <w:lang w:eastAsia="es-ES_tradnl"/>
        </w:rPr>
        <w:t>como aquellas que deseen adquirir un conocimiento más específico sobre las últimas técnicas, herramientas y productos.</w:t>
      </w:r>
    </w:p>
    <w:p w:rsidR="00051F1B" w:rsidRPr="00051F1B" w:rsidRDefault="00051F1B" w:rsidP="00051F1B">
      <w:pPr>
        <w:jc w:val="both"/>
        <w:rPr>
          <w:rFonts w:ascii="Candara" w:hAnsi="Candara"/>
        </w:rPr>
      </w:pPr>
    </w:p>
    <w:p w:rsidR="00051F1B" w:rsidRPr="00051F1B" w:rsidRDefault="00051F1B" w:rsidP="00051F1B">
      <w:pPr>
        <w:jc w:val="both"/>
        <w:rPr>
          <w:rFonts w:ascii="Candara" w:hAnsi="Candara"/>
        </w:rPr>
      </w:pPr>
    </w:p>
    <w:p w:rsidR="00051F1B" w:rsidRPr="00051F1B" w:rsidRDefault="00051F1B" w:rsidP="00051F1B">
      <w:pPr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>Contenidos y Temporización:</w:t>
      </w:r>
    </w:p>
    <w:p w:rsidR="00051F1B" w:rsidRPr="00051F1B" w:rsidRDefault="00051F1B" w:rsidP="00051F1B">
      <w:pPr>
        <w:jc w:val="both"/>
        <w:rPr>
          <w:rFonts w:ascii="Candara" w:hAnsi="Candara"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>Introducción al maquillaje protésico, referencias y materiales</w:t>
      </w:r>
      <w:r>
        <w:rPr>
          <w:rFonts w:ascii="Candara" w:hAnsi="Candara"/>
          <w:b/>
        </w:rPr>
        <w:t>.</w:t>
      </w:r>
      <w:r w:rsidRPr="00051F1B">
        <w:rPr>
          <w:rFonts w:ascii="Candara" w:hAnsi="Candara"/>
          <w:b/>
        </w:rPr>
        <w:t xml:space="preserve"> 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 Creación de herramientas para el m</w:t>
      </w:r>
      <w:r>
        <w:rPr>
          <w:rFonts w:ascii="Candara" w:hAnsi="Candara"/>
          <w:b/>
        </w:rPr>
        <w:t>odelado; palillos, vaciadores.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 Impresión con </w:t>
      </w:r>
      <w:proofErr w:type="spellStart"/>
      <w:r w:rsidRPr="00051F1B">
        <w:rPr>
          <w:rFonts w:ascii="Candara" w:hAnsi="Candara"/>
          <w:b/>
        </w:rPr>
        <w:t>alginato</w:t>
      </w:r>
      <w:proofErr w:type="spellEnd"/>
      <w:r w:rsidRPr="00051F1B">
        <w:rPr>
          <w:rFonts w:ascii="Candara" w:hAnsi="Candara"/>
          <w:b/>
        </w:rPr>
        <w:t xml:space="preserve"> dental y positivado; formas de trabajo, higiene, etc. 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 Creación de la  “plancha plana “. </w:t>
      </w:r>
    </w:p>
    <w:p w:rsidR="00051F1B" w:rsidRPr="00051F1B" w:rsidRDefault="00051F1B" w:rsidP="00051F1B">
      <w:pPr>
        <w:ind w:left="360"/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 Modelado y </w:t>
      </w:r>
      <w:proofErr w:type="spellStart"/>
      <w:r w:rsidRPr="00051F1B">
        <w:rPr>
          <w:rFonts w:ascii="Candara" w:hAnsi="Candara"/>
          <w:b/>
        </w:rPr>
        <w:t>texturado</w:t>
      </w:r>
      <w:proofErr w:type="spellEnd"/>
      <w:r w:rsidRPr="00051F1B">
        <w:rPr>
          <w:rFonts w:ascii="Candara" w:hAnsi="Candara"/>
          <w:b/>
        </w:rPr>
        <w:t xml:space="preserve"> avanzado; técnicas de escultura y </w:t>
      </w:r>
      <w:proofErr w:type="spellStart"/>
      <w:r w:rsidRPr="00051F1B">
        <w:rPr>
          <w:rFonts w:ascii="Candara" w:hAnsi="Candara"/>
          <w:b/>
        </w:rPr>
        <w:t>texturado</w:t>
      </w:r>
      <w:proofErr w:type="spellEnd"/>
      <w:r w:rsidRPr="00051F1B">
        <w:rPr>
          <w:rFonts w:ascii="Candara" w:hAnsi="Candara"/>
          <w:b/>
        </w:rPr>
        <w:t xml:space="preserve">. </w:t>
      </w:r>
    </w:p>
    <w:p w:rsidR="00051F1B" w:rsidRPr="00051F1B" w:rsidRDefault="00051F1B" w:rsidP="00051F1B">
      <w:pPr>
        <w:ind w:left="360"/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Creación del </w:t>
      </w:r>
      <w:proofErr w:type="spellStart"/>
      <w:r w:rsidRPr="00051F1B">
        <w:rPr>
          <w:rFonts w:ascii="Candara" w:hAnsi="Candara"/>
          <w:b/>
        </w:rPr>
        <w:t>flashing</w:t>
      </w:r>
      <w:proofErr w:type="spellEnd"/>
      <w:r w:rsidRPr="00051F1B">
        <w:rPr>
          <w:rFonts w:ascii="Candara" w:hAnsi="Candara"/>
          <w:b/>
        </w:rPr>
        <w:t xml:space="preserve">. 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Confección del molde negativo. 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Positivado en látex o gelatina. 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Aplicación y coloración de la prótesis 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 xml:space="preserve">Desmaquillado 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>Metodología:</w:t>
      </w:r>
    </w:p>
    <w:p w:rsidR="00051F1B" w:rsidRPr="00051F1B" w:rsidRDefault="00051F1B" w:rsidP="00051F1B">
      <w:pPr>
        <w:ind w:left="284"/>
        <w:jc w:val="both"/>
        <w:rPr>
          <w:rFonts w:ascii="Candara" w:hAnsi="Candara"/>
        </w:rPr>
      </w:pP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>El profesor realizara un ejercicio al mismo tiempo que los alumnos a modo de explicación.</w:t>
      </w:r>
    </w:p>
    <w:p w:rsidR="00051F1B" w:rsidRPr="00051F1B" w:rsidRDefault="00051F1B" w:rsidP="00051F1B">
      <w:pPr>
        <w:jc w:val="both"/>
        <w:rPr>
          <w:rFonts w:ascii="Candara" w:hAnsi="Candara"/>
        </w:rPr>
      </w:pPr>
    </w:p>
    <w:p w:rsidR="00051F1B" w:rsidRPr="00051F1B" w:rsidRDefault="00051F1B" w:rsidP="00051F1B">
      <w:pPr>
        <w:jc w:val="both"/>
        <w:rPr>
          <w:rFonts w:ascii="Candara" w:hAnsi="Candara"/>
        </w:rPr>
      </w:pPr>
    </w:p>
    <w:p w:rsidR="00051F1B" w:rsidRPr="00051F1B" w:rsidRDefault="00051F1B" w:rsidP="00051F1B">
      <w:pPr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>Evaluación: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>Evaluación continúa de la evolución y asimilación de los contenidos por parte del alumnado.</w:t>
      </w: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 xml:space="preserve">Evaluación final mediante examen. </w:t>
      </w: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>Se tendrá en cuenta la participación en clase y la actitud del alumno.</w:t>
      </w: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>La asistencia a las clases es obligatoria y no se podrá recuperar una clase excepto por motivos justificables y extraordinarios.</w:t>
      </w:r>
    </w:p>
    <w:p w:rsidR="00051F1B" w:rsidRPr="00051F1B" w:rsidRDefault="00051F1B" w:rsidP="00051F1B">
      <w:pPr>
        <w:ind w:left="360"/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jc w:val="both"/>
        <w:rPr>
          <w:rFonts w:ascii="Candara" w:hAnsi="Candara"/>
          <w:b/>
        </w:rPr>
      </w:pPr>
      <w:r w:rsidRPr="00051F1B">
        <w:rPr>
          <w:rFonts w:ascii="Candara" w:hAnsi="Candara"/>
          <w:b/>
        </w:rPr>
        <w:t>Duración:</w:t>
      </w:r>
    </w:p>
    <w:p w:rsidR="00051F1B" w:rsidRPr="00051F1B" w:rsidRDefault="00051F1B" w:rsidP="00051F1B">
      <w:pPr>
        <w:jc w:val="both"/>
        <w:rPr>
          <w:rFonts w:ascii="Candara" w:hAnsi="Candara"/>
          <w:b/>
        </w:rPr>
      </w:pP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 xml:space="preserve">26 Horas </w:t>
      </w: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>3 días a la semana (según grupos), 1 día a la semana (sábados)</w:t>
      </w:r>
    </w:p>
    <w:p w:rsidR="00051F1B" w:rsidRPr="00051F1B" w:rsidRDefault="00051F1B" w:rsidP="00051F1B">
      <w:pPr>
        <w:numPr>
          <w:ilvl w:val="0"/>
          <w:numId w:val="4"/>
        </w:numPr>
        <w:jc w:val="both"/>
        <w:rPr>
          <w:rFonts w:ascii="Candara" w:hAnsi="Candara"/>
        </w:rPr>
      </w:pPr>
      <w:r w:rsidRPr="00051F1B">
        <w:rPr>
          <w:rFonts w:ascii="Candara" w:hAnsi="Candara"/>
        </w:rPr>
        <w:t xml:space="preserve">4 horas al día.   </w:t>
      </w:r>
    </w:p>
    <w:p w:rsidR="00051F1B" w:rsidRDefault="00051F1B" w:rsidP="00051F1B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051F1B" w:rsidRDefault="00051F1B" w:rsidP="00051F1B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051F1B" w:rsidRPr="003905D9" w:rsidRDefault="00051F1B" w:rsidP="00051F1B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L</w:t>
      </w:r>
      <w:r w:rsidRPr="003905D9">
        <w:rPr>
          <w:rFonts w:ascii="Candara" w:hAnsi="Candara" w:cs="Candara"/>
          <w:b/>
          <w:bCs/>
        </w:rPr>
        <w:t>ugar de Impartición</w:t>
      </w:r>
    </w:p>
    <w:p w:rsidR="00051F1B" w:rsidRPr="003905D9" w:rsidRDefault="00051F1B" w:rsidP="00051F1B">
      <w:pPr>
        <w:tabs>
          <w:tab w:val="left" w:pos="4995"/>
        </w:tabs>
        <w:spacing w:line="276" w:lineRule="auto"/>
        <w:jc w:val="right"/>
        <w:rPr>
          <w:rFonts w:ascii="Candara" w:hAnsi="Candara" w:cs="Candara"/>
          <w:b/>
          <w:bCs/>
          <w:color w:val="33CCCC"/>
        </w:rPr>
      </w:pPr>
      <w:r w:rsidRPr="003905D9">
        <w:rPr>
          <w:rFonts w:ascii="Candara" w:hAnsi="Candara" w:cs="Candara"/>
        </w:rPr>
        <w:t>Calle Londres</w:t>
      </w:r>
      <w:r>
        <w:rPr>
          <w:rFonts w:ascii="Candara" w:hAnsi="Candara" w:cs="Candara"/>
        </w:rPr>
        <w:t>,</w:t>
      </w:r>
      <w:r w:rsidRPr="003905D9">
        <w:rPr>
          <w:rFonts w:ascii="Candara" w:hAnsi="Candara" w:cs="Candara"/>
        </w:rPr>
        <w:t xml:space="preserve"> 32</w:t>
      </w:r>
    </w:p>
    <w:p w:rsidR="00051F1B" w:rsidRDefault="00051F1B" w:rsidP="00051F1B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 w:rsidRPr="003905D9">
        <w:rPr>
          <w:rFonts w:ascii="Candara" w:hAnsi="Candara" w:cs="Candara"/>
        </w:rPr>
        <w:t>28028 MADRID</w:t>
      </w:r>
    </w:p>
    <w:p w:rsidR="00051F1B" w:rsidRDefault="00051F1B" w:rsidP="00051F1B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>
        <w:rPr>
          <w:rFonts w:ascii="Candara" w:hAnsi="Candara" w:cs="Candara"/>
        </w:rPr>
        <w:t xml:space="preserve">Dpto. Información e inscripciones: </w:t>
      </w:r>
      <w:r w:rsidRPr="001C646A">
        <w:rPr>
          <w:rFonts w:ascii="Candara" w:hAnsi="Candara" w:cs="Candara"/>
          <w:b/>
          <w:bCs/>
        </w:rPr>
        <w:t>91 183 72 62</w:t>
      </w:r>
    </w:p>
    <w:p w:rsidR="00051F1B" w:rsidRPr="002F4BCC" w:rsidRDefault="00051F1B" w:rsidP="00051F1B">
      <w:pPr>
        <w:tabs>
          <w:tab w:val="left" w:pos="720"/>
        </w:tabs>
        <w:spacing w:line="276" w:lineRule="auto"/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16510</wp:posOffset>
            </wp:positionV>
            <wp:extent cx="355600" cy="215900"/>
            <wp:effectExtent l="19050" t="0" r="6350" b="0"/>
            <wp:wrapNone/>
            <wp:docPr id="5" name="il_fi" descr="http://www.softguides.com/madrid_guide/transport/graphics/metro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ftguides.com/madrid_guide/transport/graphics/metro_ic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F3125A">
        <w:rPr>
          <w:rFonts w:ascii="Candara" w:hAnsi="Candara" w:cs="Candara"/>
        </w:rPr>
        <w:t>Manuel Becerra; Diego de León; Ventas.</w:t>
      </w:r>
      <w:r>
        <w:t xml:space="preserve"> </w:t>
      </w:r>
    </w:p>
    <w:p w:rsidR="00051F1B" w:rsidRDefault="00051F1B" w:rsidP="00051F1B"/>
    <w:p w:rsidR="00051F1B" w:rsidRDefault="00051F1B" w:rsidP="00051F1B"/>
    <w:p w:rsidR="00051F1B" w:rsidRDefault="00051F1B" w:rsidP="00051F1B"/>
    <w:p w:rsidR="00051F1B" w:rsidRDefault="00051F1B" w:rsidP="00051F1B"/>
    <w:p w:rsidR="00051F1B" w:rsidRDefault="00051F1B" w:rsidP="00051F1B"/>
    <w:p w:rsidR="003824F5" w:rsidRDefault="003824F5"/>
    <w:sectPr w:rsidR="003824F5" w:rsidSect="002F4BCC">
      <w:headerReference w:type="default" r:id="rId9"/>
      <w:footerReference w:type="default" r:id="rId10"/>
      <w:pgSz w:w="11907" w:h="16840" w:code="9"/>
      <w:pgMar w:top="1134" w:right="1134" w:bottom="993" w:left="993" w:header="737" w:footer="510" w:gutter="0"/>
      <w:pgBorders w:display="notFirstPage" w:offsetFrom="page">
        <w:top w:val="single" w:sz="4" w:space="24" w:color="E36C0A"/>
        <w:left w:val="single" w:sz="4" w:space="24" w:color="E36C0A"/>
        <w:bottom w:val="single" w:sz="4" w:space="24" w:color="E36C0A"/>
        <w:right w:val="single" w:sz="4" w:space="24" w:color="E36C0A"/>
      </w:pgBorders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Pr="000854BF" w:rsidRDefault="002B47CB" w:rsidP="006001FB">
    <w:pPr>
      <w:ind w:left="-284"/>
      <w:jc w:val="center"/>
      <w:rPr>
        <w:rFonts w:ascii="Candara" w:hAnsi="Candara" w:cs="Candara"/>
        <w:sz w:val="20"/>
        <w:szCs w:val="20"/>
      </w:rPr>
    </w:pPr>
    <w:r>
      <w:tab/>
    </w:r>
    <w:hyperlink r:id="rId1" w:history="1">
      <w:r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Default="002B47CB" w:rsidP="00FE42AE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05D4F"/>
    <w:multiLevelType w:val="hybridMultilevel"/>
    <w:tmpl w:val="E482FD4C"/>
    <w:lvl w:ilvl="0" w:tplc="3E6AD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480C6D"/>
    <w:multiLevelType w:val="hybridMultilevel"/>
    <w:tmpl w:val="411C1E48"/>
    <w:lvl w:ilvl="0" w:tplc="0C0A000D">
      <w:start w:val="1"/>
      <w:numFmt w:val="bullet"/>
      <w:lvlText w:val=""/>
      <w:lvlJc w:val="left"/>
      <w:pPr>
        <w:ind w:left="87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2">
    <w:nsid w:val="5EF77583"/>
    <w:multiLevelType w:val="hybridMultilevel"/>
    <w:tmpl w:val="E8FED546"/>
    <w:lvl w:ilvl="0" w:tplc="696CDA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3FC55FC">
      <w:numFmt w:val="none"/>
      <w:lvlText w:val=""/>
      <w:lvlJc w:val="left"/>
      <w:pPr>
        <w:tabs>
          <w:tab w:val="num" w:pos="360"/>
        </w:tabs>
      </w:pPr>
    </w:lvl>
    <w:lvl w:ilvl="2" w:tplc="25F20790">
      <w:numFmt w:val="none"/>
      <w:lvlText w:val=""/>
      <w:lvlJc w:val="left"/>
      <w:pPr>
        <w:tabs>
          <w:tab w:val="num" w:pos="360"/>
        </w:tabs>
      </w:pPr>
    </w:lvl>
    <w:lvl w:ilvl="3" w:tplc="9E803872">
      <w:numFmt w:val="none"/>
      <w:lvlText w:val=""/>
      <w:lvlJc w:val="left"/>
      <w:pPr>
        <w:tabs>
          <w:tab w:val="num" w:pos="360"/>
        </w:tabs>
      </w:pPr>
    </w:lvl>
    <w:lvl w:ilvl="4" w:tplc="BCE08A3E">
      <w:numFmt w:val="none"/>
      <w:lvlText w:val=""/>
      <w:lvlJc w:val="left"/>
      <w:pPr>
        <w:tabs>
          <w:tab w:val="num" w:pos="360"/>
        </w:tabs>
      </w:pPr>
    </w:lvl>
    <w:lvl w:ilvl="5" w:tplc="EE3616B4">
      <w:numFmt w:val="none"/>
      <w:lvlText w:val=""/>
      <w:lvlJc w:val="left"/>
      <w:pPr>
        <w:tabs>
          <w:tab w:val="num" w:pos="360"/>
        </w:tabs>
      </w:pPr>
    </w:lvl>
    <w:lvl w:ilvl="6" w:tplc="366C2140">
      <w:numFmt w:val="none"/>
      <w:lvlText w:val=""/>
      <w:lvlJc w:val="left"/>
      <w:pPr>
        <w:tabs>
          <w:tab w:val="num" w:pos="360"/>
        </w:tabs>
      </w:pPr>
    </w:lvl>
    <w:lvl w:ilvl="7" w:tplc="20D4BE20">
      <w:numFmt w:val="none"/>
      <w:lvlText w:val=""/>
      <w:lvlJc w:val="left"/>
      <w:pPr>
        <w:tabs>
          <w:tab w:val="num" w:pos="360"/>
        </w:tabs>
      </w:pPr>
    </w:lvl>
    <w:lvl w:ilvl="8" w:tplc="7D56DB1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F1B"/>
    <w:rsid w:val="00051F1B"/>
    <w:rsid w:val="002B47CB"/>
    <w:rsid w:val="003824F5"/>
    <w:rsid w:val="00985DCA"/>
    <w:rsid w:val="00D660C1"/>
    <w:rsid w:val="00E3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51F1B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051F1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051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1F1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0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0C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emaquillaj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dcterms:created xsi:type="dcterms:W3CDTF">2012-10-23T09:58:00Z</dcterms:created>
  <dcterms:modified xsi:type="dcterms:W3CDTF">2012-10-23T09:58:00Z</dcterms:modified>
</cp:coreProperties>
</file>